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07C1" w14:textId="77777777" w:rsidR="004E198C" w:rsidRDefault="00F55AC2" w:rsidP="00680ECD">
      <w:pPr>
        <w:tabs>
          <w:tab w:val="center" w:pos="4153"/>
          <w:tab w:val="right" w:pos="8306"/>
        </w:tabs>
        <w:spacing w:after="200" w:line="276" w:lineRule="auto"/>
        <w:ind w:left="180" w:right="360"/>
        <w:rPr>
          <w:rFonts w:ascii="Calibri" w:hAnsi="Calibri" w:cs="Tahoma"/>
          <w:b/>
          <w:color w:val="006666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BD72D" wp14:editId="091AAE8B">
                <wp:simplePos x="0" y="0"/>
                <wp:positionH relativeFrom="column">
                  <wp:posOffset>3148330</wp:posOffset>
                </wp:positionH>
                <wp:positionV relativeFrom="paragraph">
                  <wp:posOffset>0</wp:posOffset>
                </wp:positionV>
                <wp:extent cx="6308725" cy="10750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E5B5" w14:textId="77777777" w:rsidR="00680ECD" w:rsidRPr="00680ECD" w:rsidRDefault="00680ECD" w:rsidP="00680ECD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006666"/>
                                <w:sz w:val="56"/>
                                <w:szCs w:val="56"/>
                              </w:rPr>
                            </w:pPr>
                            <w:r w:rsidRPr="00680ECD">
                              <w:rPr>
                                <w:rFonts w:ascii="Calibri" w:hAnsi="Calibri" w:cs="Tahoma"/>
                                <w:b/>
                                <w:color w:val="006666"/>
                                <w:sz w:val="56"/>
                                <w:szCs w:val="56"/>
                              </w:rPr>
                              <w:t>Peel Group Practice</w:t>
                            </w:r>
                            <w:r w:rsidR="00A033BB">
                              <w:rPr>
                                <w:rFonts w:ascii="Calibri" w:hAnsi="Calibri" w:cs="Tahoma"/>
                                <w:b/>
                                <w:color w:val="006666"/>
                                <w:sz w:val="56"/>
                                <w:szCs w:val="56"/>
                              </w:rPr>
                              <w:t xml:space="preserve"> LLC</w:t>
                            </w:r>
                          </w:p>
                          <w:p w14:paraId="7D05FCBC" w14:textId="77777777" w:rsidR="00680ECD" w:rsidRPr="00680ECD" w:rsidRDefault="00680ECD" w:rsidP="00680ECD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006666"/>
                                <w:sz w:val="56"/>
                                <w:szCs w:val="56"/>
                              </w:rPr>
                            </w:pPr>
                            <w:r w:rsidRPr="00680ECD">
                              <w:rPr>
                                <w:rFonts w:ascii="Calibri" w:hAnsi="Calibri" w:cs="Tahoma"/>
                                <w:b/>
                                <w:color w:val="006666"/>
                                <w:sz w:val="56"/>
                                <w:szCs w:val="56"/>
                              </w:rPr>
                              <w:t>Privacy Notice</w:t>
                            </w:r>
                          </w:p>
                          <w:p w14:paraId="69BDAA09" w14:textId="77777777" w:rsidR="00680ECD" w:rsidRDefault="00680E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9pt;margin-top:0;width:496.75pt;height:8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" strokecolor="white">
                <v:textbox>
                  <w:txbxContent>
                    <w:p w:rsidR="00680ECD" w:rsidRPr="00680ECD" w:rsidRDefault="00680ECD" w:rsidP="00680ECD">
                      <w:pPr>
                        <w:jc w:val="center"/>
                        <w:rPr>
                          <w:rFonts w:ascii="Calibri" w:hAnsi="Calibri" w:cs="Tahoma"/>
                          <w:b/>
                          <w:color w:val="006666"/>
                          <w:sz w:val="56"/>
                          <w:szCs w:val="56"/>
                        </w:rPr>
                      </w:pPr>
                      <w:r w:rsidRPr="00680ECD">
                        <w:rPr>
                          <w:rFonts w:ascii="Calibri" w:hAnsi="Calibri" w:cs="Tahoma"/>
                          <w:b/>
                          <w:color w:val="006666"/>
                          <w:sz w:val="56"/>
                          <w:szCs w:val="56"/>
                        </w:rPr>
                        <w:t>Peel Group Practice</w:t>
                      </w:r>
                      <w:r w:rsidR="00A033BB">
                        <w:rPr>
                          <w:rFonts w:ascii="Calibri" w:hAnsi="Calibri" w:cs="Tahoma"/>
                          <w:b/>
                          <w:color w:val="006666"/>
                          <w:sz w:val="56"/>
                          <w:szCs w:val="56"/>
                        </w:rPr>
                        <w:t xml:space="preserve"> LLC</w:t>
                      </w:r>
                    </w:p>
                    <w:p w:rsidR="00680ECD" w:rsidRPr="00680ECD" w:rsidRDefault="00680ECD" w:rsidP="00680ECD">
                      <w:pPr>
                        <w:jc w:val="center"/>
                        <w:rPr>
                          <w:rFonts w:ascii="Calibri" w:hAnsi="Calibri" w:cs="Tahoma"/>
                          <w:b/>
                          <w:color w:val="006666"/>
                          <w:sz w:val="56"/>
                          <w:szCs w:val="56"/>
                        </w:rPr>
                      </w:pPr>
                      <w:r w:rsidRPr="00680ECD">
                        <w:rPr>
                          <w:rFonts w:ascii="Calibri" w:hAnsi="Calibri" w:cs="Tahoma"/>
                          <w:b/>
                          <w:color w:val="006666"/>
                          <w:sz w:val="56"/>
                          <w:szCs w:val="56"/>
                        </w:rPr>
                        <w:t>Privacy Notice</w:t>
                      </w:r>
                    </w:p>
                    <w:p w:rsidR="00680ECD" w:rsidRDefault="00680ECD"/>
                  </w:txbxContent>
                </v:textbox>
              </v:shape>
            </w:pict>
          </mc:Fallback>
        </mc:AlternateContent>
      </w:r>
      <w:r w:rsidRPr="00680ECD">
        <w:rPr>
          <w:rFonts w:ascii="Calibri" w:eastAsia="Calibri" w:hAnsi="Calibri"/>
          <w:noProof/>
          <w:sz w:val="22"/>
          <w:szCs w:val="22"/>
          <w:lang w:eastAsia="en-GB"/>
        </w:rPr>
        <w:drawing>
          <wp:inline distT="0" distB="0" distL="0" distR="0" wp14:anchorId="5FA6D220" wp14:editId="1DD80858">
            <wp:extent cx="26003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457D" w14:textId="77777777" w:rsidR="004E198C" w:rsidRPr="001F25F4" w:rsidRDefault="00680ECD" w:rsidP="004E198C">
      <w:pPr>
        <w:jc w:val="both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>Peel Group Practice</w:t>
      </w:r>
      <w:r w:rsidR="004E198C" w:rsidRPr="001F25F4">
        <w:rPr>
          <w:rFonts w:ascii="Calibri" w:hAnsi="Calibri" w:cs="Arial"/>
          <w:bCs/>
          <w:sz w:val="24"/>
          <w:szCs w:val="24"/>
          <w:lang w:eastAsia="en-GB"/>
        </w:rPr>
        <w:t xml:space="preserve"> </w:t>
      </w:r>
      <w:r w:rsidR="00A033BB">
        <w:rPr>
          <w:rFonts w:ascii="Calibri" w:hAnsi="Calibri" w:cs="Arial"/>
          <w:bCs/>
          <w:sz w:val="24"/>
          <w:szCs w:val="24"/>
          <w:lang w:eastAsia="en-GB"/>
        </w:rPr>
        <w:t xml:space="preserve">LLC </w:t>
      </w:r>
      <w:r w:rsidR="004E198C" w:rsidRPr="001F25F4">
        <w:rPr>
          <w:rFonts w:ascii="Calibri" w:hAnsi="Calibri" w:cs="Arial"/>
          <w:bCs/>
          <w:sz w:val="24"/>
          <w:szCs w:val="24"/>
          <w:lang w:eastAsia="en-GB"/>
        </w:rPr>
        <w:t xml:space="preserve">has a legal duty to explain how we use any personal information we collect about you as a registered patient at the practice. Staff at this practice maintain records about your health and the treatment you receive in electronic and paper format.    </w:t>
      </w:r>
    </w:p>
    <w:p w14:paraId="3B35A61A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1431F72F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What information do we collect about you?</w:t>
      </w:r>
    </w:p>
    <w:p w14:paraId="5BE48157" w14:textId="77777777" w:rsidR="004E198C" w:rsidRPr="001F25F4" w:rsidRDefault="004E198C" w:rsidP="004E198C">
      <w:pPr>
        <w:jc w:val="both"/>
        <w:rPr>
          <w:rFonts w:ascii="Calibri" w:hAnsi="Calibri" w:cs="Arial"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>We collect information such as personal details, including name, address, next of kin, records of appointments, visits, telephone calls, your health records, treatment and medications, test results, X-rays, etc.</w:t>
      </w:r>
      <w:r w:rsidR="004245CF">
        <w:rPr>
          <w:rFonts w:ascii="Calibri" w:hAnsi="Calibri" w:cs="Arial"/>
          <w:sz w:val="24"/>
          <w:szCs w:val="24"/>
          <w:lang w:val="en-US"/>
        </w:rPr>
        <w:t>,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 and any other relevant information to enable us to deliver effective medical care</w:t>
      </w:r>
      <w:r w:rsidRPr="001F25F4">
        <w:rPr>
          <w:rFonts w:ascii="Calibri" w:hAnsi="Calibri" w:cs="Arial"/>
          <w:color w:val="215868"/>
          <w:sz w:val="24"/>
          <w:szCs w:val="24"/>
          <w:lang w:val="en-US"/>
        </w:rPr>
        <w:t>.</w:t>
      </w:r>
    </w:p>
    <w:p w14:paraId="6842DA71" w14:textId="77777777" w:rsidR="004E198C" w:rsidRPr="001F25F4" w:rsidRDefault="004E198C" w:rsidP="004E198C">
      <w:pPr>
        <w:rPr>
          <w:rFonts w:ascii="Calibri" w:hAnsi="Calibri" w:cs="Arial"/>
          <w:color w:val="215868"/>
          <w:sz w:val="24"/>
          <w:szCs w:val="24"/>
          <w:lang w:val="en-US"/>
        </w:rPr>
      </w:pPr>
    </w:p>
    <w:p w14:paraId="67C31A35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How we will use your information</w:t>
      </w:r>
    </w:p>
    <w:p w14:paraId="42D15871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Your data is collected for the purpose of providing direct patient care; however, we can disclose this information if it is required by law, if you give consent or if it is justified in </w:t>
      </w:r>
      <w:proofErr w:type="gramStart"/>
      <w:r w:rsidRPr="001F25F4">
        <w:rPr>
          <w:rFonts w:ascii="Calibri" w:hAnsi="Calibri" w:cs="Arial"/>
          <w:sz w:val="24"/>
          <w:szCs w:val="24"/>
          <w:lang w:val="en-US"/>
        </w:rPr>
        <w:t>the public</w:t>
      </w:r>
      <w:proofErr w:type="gramEnd"/>
      <w:r w:rsidRPr="001F25F4">
        <w:rPr>
          <w:rFonts w:ascii="Calibri" w:hAnsi="Calibri" w:cs="Arial"/>
          <w:sz w:val="24"/>
          <w:szCs w:val="24"/>
          <w:lang w:val="en-US"/>
        </w:rPr>
        <w:t xml:space="preserve"> interest. </w:t>
      </w:r>
    </w:p>
    <w:p w14:paraId="743AC42F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0D8536D0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proofErr w:type="gramStart"/>
      <w:r w:rsidRPr="001F25F4">
        <w:rPr>
          <w:rFonts w:ascii="Calibri" w:hAnsi="Calibri" w:cs="Arial"/>
          <w:sz w:val="24"/>
          <w:szCs w:val="24"/>
          <w:lang w:val="en-US"/>
        </w:rPr>
        <w:t>In order to</w:t>
      </w:r>
      <w:proofErr w:type="gramEnd"/>
      <w:r w:rsidRPr="001F25F4">
        <w:rPr>
          <w:rFonts w:ascii="Calibri" w:hAnsi="Calibri" w:cs="Arial"/>
          <w:sz w:val="24"/>
          <w:szCs w:val="24"/>
          <w:lang w:val="en-US"/>
        </w:rPr>
        <w:t xml:space="preserve"> comply with its legal obligations, this practice may send data to Department of Health </w:t>
      </w:r>
      <w:r w:rsidR="004245CF">
        <w:rPr>
          <w:rFonts w:ascii="Calibri" w:hAnsi="Calibri" w:cs="Arial"/>
          <w:sz w:val="24"/>
          <w:szCs w:val="24"/>
          <w:lang w:val="en-US"/>
        </w:rPr>
        <w:t>and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 Social Care when directed by the </w:t>
      </w:r>
      <w:r w:rsidRPr="00F43787">
        <w:rPr>
          <w:rFonts w:ascii="Calibri" w:hAnsi="Calibri" w:cs="Arial"/>
          <w:sz w:val="24"/>
          <w:szCs w:val="24"/>
          <w:lang w:val="en-US"/>
        </w:rPr>
        <w:t>Health Minister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 under the </w:t>
      </w:r>
      <w:r w:rsidRPr="00F43787">
        <w:rPr>
          <w:rFonts w:ascii="Calibri" w:hAnsi="Calibri" w:cs="Arial"/>
          <w:sz w:val="24"/>
          <w:szCs w:val="24"/>
          <w:lang w:val="en-US"/>
        </w:rPr>
        <w:t>Health and Social Care Act 2012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. Additionally, this practice contributes to national clinical audits and will send the data that is required by </w:t>
      </w:r>
      <w:r w:rsidR="00F43787">
        <w:rPr>
          <w:rFonts w:ascii="Calibri" w:hAnsi="Calibri" w:cs="Arial"/>
          <w:sz w:val="24"/>
          <w:szCs w:val="24"/>
          <w:lang w:val="en-US"/>
        </w:rPr>
        <w:t xml:space="preserve">the 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Department of </w:t>
      </w:r>
      <w:r w:rsidR="004245CF">
        <w:rPr>
          <w:rFonts w:ascii="Calibri" w:hAnsi="Calibri" w:cs="Arial"/>
          <w:sz w:val="24"/>
          <w:szCs w:val="24"/>
          <w:lang w:val="en-US"/>
        </w:rPr>
        <w:t xml:space="preserve">Health and 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Social Care when the law allows. This may include demographic data, such as date of birth, and information about your health </w:t>
      </w:r>
      <w:r w:rsidR="004245CF">
        <w:rPr>
          <w:rFonts w:ascii="Calibri" w:hAnsi="Calibri" w:cs="Arial"/>
          <w:sz w:val="24"/>
          <w:szCs w:val="24"/>
          <w:lang w:val="en-US"/>
        </w:rPr>
        <w:t xml:space="preserve">that </w:t>
      </w:r>
      <w:r w:rsidRPr="001F25F4">
        <w:rPr>
          <w:rFonts w:ascii="Calibri" w:hAnsi="Calibri" w:cs="Arial"/>
          <w:sz w:val="24"/>
          <w:szCs w:val="24"/>
          <w:lang w:val="en-US"/>
        </w:rPr>
        <w:t>is recorded in coded form; for example, the clinical code for diabetes or high blood pressure.</w:t>
      </w:r>
    </w:p>
    <w:p w14:paraId="4A94873A" w14:textId="77777777" w:rsidR="004E198C" w:rsidRPr="001F25F4" w:rsidRDefault="004E198C" w:rsidP="004E198C">
      <w:pPr>
        <w:rPr>
          <w:rFonts w:ascii="Calibri" w:hAnsi="Calibri" w:cs="Arial"/>
          <w:color w:val="215868"/>
          <w:sz w:val="24"/>
          <w:szCs w:val="24"/>
          <w:lang w:val="en-US"/>
        </w:rPr>
      </w:pPr>
    </w:p>
    <w:p w14:paraId="3F14A8B7" w14:textId="77777777" w:rsidR="004E198C" w:rsidRPr="001F25F4" w:rsidRDefault="004E198C" w:rsidP="004E198C">
      <w:pPr>
        <w:rPr>
          <w:rFonts w:ascii="Calibri" w:hAnsi="Calibri" w:cs="Arial"/>
          <w:b/>
          <w:bCs/>
          <w:sz w:val="24"/>
          <w:szCs w:val="24"/>
          <w:lang w:val="en-US"/>
        </w:rPr>
      </w:pPr>
      <w:r w:rsidRPr="001F25F4">
        <w:rPr>
          <w:rFonts w:ascii="Calibri" w:hAnsi="Calibri" w:cs="Arial"/>
          <w:b/>
          <w:bCs/>
          <w:sz w:val="24"/>
          <w:szCs w:val="24"/>
          <w:lang w:val="en-US"/>
        </w:rPr>
        <w:t xml:space="preserve">Processing your information in this way and obtaining your consent ensures that we comply with Articles 6(1)(c), 6(1)(e) and 9(2)(h) of the GDPR.  </w:t>
      </w:r>
    </w:p>
    <w:p w14:paraId="16995CDC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148C1860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Maintaining confidentiality and accessing your records</w:t>
      </w:r>
    </w:p>
    <w:p w14:paraId="5D8FD40B" w14:textId="77777777" w:rsidR="004E198C" w:rsidRPr="001F25F4" w:rsidRDefault="004E198C" w:rsidP="004E198C">
      <w:pPr>
        <w:jc w:val="both"/>
        <w:rPr>
          <w:rFonts w:ascii="Calibri" w:hAnsi="Calibri" w:cs="Arial"/>
          <w:b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>We are committed to maintaining confidentiality and protecting the information we hold about you. We adhere to the General Data Protection Regulation</w:t>
      </w:r>
      <w:r w:rsidR="004245CF">
        <w:rPr>
          <w:rFonts w:ascii="Calibri" w:hAnsi="Calibri" w:cs="Arial"/>
          <w:sz w:val="24"/>
          <w:szCs w:val="24"/>
          <w:lang w:val="en-US"/>
        </w:rPr>
        <w:t>s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 (GDPR), the </w:t>
      </w:r>
      <w:r w:rsidRPr="00F43787">
        <w:rPr>
          <w:rFonts w:ascii="Calibri" w:hAnsi="Calibri" w:cs="Arial"/>
          <w:sz w:val="24"/>
          <w:szCs w:val="24"/>
          <w:lang w:val="en-US"/>
        </w:rPr>
        <w:t>NHS Codes of Confidentiality and Security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, as well as guidance issued by the Information Commissioner’s Office (ICO). You have a right to access the information we hold about you, and if you would like to access this information, you will need to complete a Subject Access Request (SAR). Please ask </w:t>
      </w:r>
      <w:r w:rsidR="004E4623">
        <w:rPr>
          <w:rFonts w:ascii="Calibri" w:hAnsi="Calibri" w:cs="Arial"/>
          <w:sz w:val="24"/>
          <w:szCs w:val="24"/>
          <w:lang w:val="en-US"/>
        </w:rPr>
        <w:t>our administration team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 for </w:t>
      </w:r>
      <w:proofErr w:type="gramStart"/>
      <w:r w:rsidRPr="001F25F4">
        <w:rPr>
          <w:rFonts w:ascii="Calibri" w:hAnsi="Calibri" w:cs="Arial"/>
          <w:sz w:val="24"/>
          <w:szCs w:val="24"/>
          <w:lang w:val="en-US"/>
        </w:rPr>
        <w:t>a SAR</w:t>
      </w:r>
      <w:proofErr w:type="gramEnd"/>
      <w:r w:rsidRPr="001F25F4">
        <w:rPr>
          <w:rFonts w:ascii="Calibri" w:hAnsi="Calibri" w:cs="Arial"/>
          <w:sz w:val="24"/>
          <w:szCs w:val="24"/>
          <w:lang w:val="en-US"/>
        </w:rPr>
        <w:t xml:space="preserve"> form and you will be given further information. Furthermore, should you identify any inaccuracies, you have a right to have inaccurate data corrected.</w:t>
      </w:r>
    </w:p>
    <w:p w14:paraId="71C69A89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6B23733A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4A0862D8" w14:textId="77777777" w:rsidR="00680ECD" w:rsidRDefault="00680ECD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3EC4CC2A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lastRenderedPageBreak/>
        <w:t>Risk stratification</w:t>
      </w:r>
    </w:p>
    <w:p w14:paraId="1ED93CFA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Risk stratification is a mechanism used to identify and subsequently manage patients deemed as being at high risk of requiring urgent or emergency care. Usually this includes patients with long-term conditions, e.g. cancer. Your information is collected by </w:t>
      </w:r>
      <w:proofErr w:type="gramStart"/>
      <w:r w:rsidRPr="001F25F4">
        <w:rPr>
          <w:rFonts w:ascii="Calibri" w:hAnsi="Calibri" w:cs="Arial"/>
          <w:sz w:val="24"/>
          <w:szCs w:val="24"/>
          <w:lang w:val="en-US"/>
        </w:rPr>
        <w:t>a number of</w:t>
      </w:r>
      <w:proofErr w:type="gramEnd"/>
      <w:r w:rsidRPr="001F25F4">
        <w:rPr>
          <w:rFonts w:ascii="Calibri" w:hAnsi="Calibri" w:cs="Arial"/>
          <w:sz w:val="24"/>
          <w:szCs w:val="24"/>
          <w:lang w:val="en-US"/>
        </w:rPr>
        <w:t xml:space="preserve"> sources, including </w:t>
      </w:r>
      <w:r w:rsidR="00680ECD">
        <w:rPr>
          <w:rFonts w:ascii="Calibri" w:hAnsi="Calibri" w:cs="Arial"/>
          <w:sz w:val="24"/>
          <w:szCs w:val="24"/>
          <w:lang w:val="en-US"/>
        </w:rPr>
        <w:t>Peel Group Practice</w:t>
      </w:r>
      <w:r w:rsidRPr="004E198C">
        <w:rPr>
          <w:rFonts w:ascii="Calibri" w:hAnsi="Calibri" w:cs="Arial"/>
          <w:bCs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bCs/>
          <w:sz w:val="24"/>
          <w:szCs w:val="24"/>
          <w:lang w:eastAsia="en-GB"/>
        </w:rPr>
        <w:t xml:space="preserve">and </w:t>
      </w:r>
      <w:r w:rsidRPr="001F25F4">
        <w:rPr>
          <w:rFonts w:ascii="Calibri" w:hAnsi="Calibri" w:cs="Arial"/>
          <w:sz w:val="24"/>
          <w:szCs w:val="24"/>
          <w:lang w:val="en-US"/>
        </w:rPr>
        <w:t>this information is processed electronically which is relayed to your GP who can then decide on any necessary actions to ensure that you receive the most appropriate care.</w:t>
      </w:r>
    </w:p>
    <w:p w14:paraId="0F0514DF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50FE5E84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Opt-outs</w:t>
      </w:r>
    </w:p>
    <w:p w14:paraId="497CCDF0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You have a right to object to your information being shared. Should you wish to opt out of data collection, please contact a member of staff who will be able to explain how you can opt out and prevent the sharing of your information; this is done by registering to opt out online (national data opt-out </w:t>
      </w:r>
      <w:proofErr w:type="spellStart"/>
      <w:r w:rsidRPr="001F25F4">
        <w:rPr>
          <w:rFonts w:ascii="Calibri" w:hAnsi="Calibri" w:cs="Arial"/>
          <w:sz w:val="24"/>
          <w:szCs w:val="24"/>
          <w:lang w:val="en-US"/>
        </w:rPr>
        <w:t>programme</w:t>
      </w:r>
      <w:proofErr w:type="spellEnd"/>
      <w:r w:rsidRPr="001F25F4">
        <w:rPr>
          <w:rFonts w:ascii="Calibri" w:hAnsi="Calibri" w:cs="Arial"/>
          <w:sz w:val="24"/>
          <w:szCs w:val="24"/>
          <w:lang w:val="en-US"/>
        </w:rPr>
        <w:t>) or if you are unable to do so or do not wish to do so online, by speaking to a member of staff.</w:t>
      </w:r>
    </w:p>
    <w:p w14:paraId="53F53DD0" w14:textId="77777777" w:rsidR="004E198C" w:rsidRPr="001F25F4" w:rsidRDefault="004E198C" w:rsidP="004E198C">
      <w:pPr>
        <w:rPr>
          <w:rFonts w:ascii="Calibri" w:hAnsi="Calibri" w:cs="Arial"/>
          <w:color w:val="215868"/>
          <w:sz w:val="24"/>
          <w:szCs w:val="24"/>
          <w:lang w:val="en-US"/>
        </w:rPr>
      </w:pPr>
    </w:p>
    <w:p w14:paraId="0251354D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Retention periods</w:t>
      </w:r>
    </w:p>
    <w:p w14:paraId="00766B32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In accordance with the NHS Codes of Practice for Records Management, your healthcare records will be retained for 10 years after death, or if a patient emigrates, for 10 years after the date of emigration. </w:t>
      </w:r>
    </w:p>
    <w:p w14:paraId="59FB14B0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10558544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What to do if you have any questions</w:t>
      </w:r>
    </w:p>
    <w:p w14:paraId="3BE64690" w14:textId="77777777" w:rsidR="004E198C" w:rsidRPr="001F25F4" w:rsidRDefault="004E198C" w:rsidP="004E198C">
      <w:pPr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>Should you have any questions about our privacy policy or the information we hold about you, you can:</w:t>
      </w:r>
    </w:p>
    <w:p w14:paraId="0C2DD962" w14:textId="77777777" w:rsidR="004E198C" w:rsidRPr="001F25F4" w:rsidRDefault="004E198C" w:rsidP="004E198C">
      <w:pPr>
        <w:rPr>
          <w:rFonts w:ascii="Calibri" w:hAnsi="Calibri" w:cs="Arial"/>
          <w:sz w:val="24"/>
          <w:szCs w:val="24"/>
          <w:lang w:val="en-US"/>
        </w:rPr>
      </w:pPr>
    </w:p>
    <w:p w14:paraId="55F93AA0" w14:textId="77777777" w:rsidR="004E198C" w:rsidRPr="001F25F4" w:rsidRDefault="004E198C" w:rsidP="004E198C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  <w:lang w:val="en-US"/>
        </w:rPr>
      </w:pPr>
      <w:r w:rsidRPr="001F25F4">
        <w:rPr>
          <w:rFonts w:cs="Arial"/>
          <w:sz w:val="24"/>
          <w:szCs w:val="24"/>
          <w:lang w:val="en-US"/>
        </w:rPr>
        <w:t xml:space="preserve">Contact the practice’s data controller via email at </w:t>
      </w:r>
      <w:r w:rsidR="0002109F">
        <w:rPr>
          <w:rFonts w:cs="Arial"/>
          <w:sz w:val="24"/>
          <w:szCs w:val="24"/>
          <w:lang w:val="en-US"/>
        </w:rPr>
        <w:t>peeldoctors@gov.im</w:t>
      </w:r>
      <w:r w:rsidR="004245CF">
        <w:rPr>
          <w:rFonts w:cs="Arial"/>
          <w:sz w:val="24"/>
          <w:szCs w:val="24"/>
          <w:lang w:val="en-US"/>
        </w:rPr>
        <w:t>.</w:t>
      </w:r>
      <w:r w:rsidRPr="001F25F4">
        <w:rPr>
          <w:rFonts w:cs="Arial"/>
          <w:sz w:val="24"/>
          <w:szCs w:val="24"/>
          <w:lang w:val="en-US"/>
        </w:rPr>
        <w:t xml:space="preserve"> GP practices are data controllers for the data they hold about their patients</w:t>
      </w:r>
      <w:r w:rsidRPr="001F25F4">
        <w:rPr>
          <w:rStyle w:val="FootnoteReference"/>
          <w:rFonts w:cs="Arial"/>
          <w:sz w:val="24"/>
          <w:szCs w:val="24"/>
          <w:lang w:val="en-US"/>
        </w:rPr>
        <w:footnoteReference w:id="1"/>
      </w:r>
      <w:r w:rsidRPr="001F25F4">
        <w:rPr>
          <w:rFonts w:cs="Arial"/>
          <w:sz w:val="24"/>
          <w:szCs w:val="24"/>
          <w:lang w:val="en-US"/>
        </w:rPr>
        <w:t xml:space="preserve">    </w:t>
      </w:r>
    </w:p>
    <w:p w14:paraId="554AE48A" w14:textId="77777777" w:rsidR="004E198C" w:rsidRPr="001F25F4" w:rsidRDefault="004E198C" w:rsidP="004E198C">
      <w:pPr>
        <w:pStyle w:val="ListParagraph"/>
        <w:numPr>
          <w:ilvl w:val="0"/>
          <w:numId w:val="23"/>
        </w:numPr>
        <w:rPr>
          <w:rFonts w:cs="Arial"/>
          <w:sz w:val="24"/>
          <w:szCs w:val="24"/>
          <w:lang w:val="en-US"/>
        </w:rPr>
      </w:pPr>
      <w:r w:rsidRPr="001F25F4">
        <w:rPr>
          <w:rFonts w:cs="Arial"/>
          <w:sz w:val="24"/>
          <w:szCs w:val="24"/>
          <w:lang w:val="en-US"/>
        </w:rPr>
        <w:t xml:space="preserve">Write to the data controller at </w:t>
      </w:r>
      <w:r w:rsidR="003B438A">
        <w:rPr>
          <w:rFonts w:cs="Arial"/>
          <w:bCs/>
          <w:sz w:val="24"/>
          <w:szCs w:val="24"/>
          <w:lang w:eastAsia="en-GB"/>
        </w:rPr>
        <w:t>Peel Group Practice</w:t>
      </w:r>
      <w:r w:rsidR="00A033BB">
        <w:rPr>
          <w:rFonts w:cs="Arial"/>
          <w:bCs/>
          <w:sz w:val="24"/>
          <w:szCs w:val="24"/>
          <w:lang w:eastAsia="en-GB"/>
        </w:rPr>
        <w:t xml:space="preserve"> LLC</w:t>
      </w:r>
    </w:p>
    <w:p w14:paraId="352E68DC" w14:textId="77777777" w:rsidR="004E198C" w:rsidRPr="001F25F4" w:rsidRDefault="004E198C" w:rsidP="004E198C">
      <w:pPr>
        <w:pStyle w:val="ListParagraph"/>
        <w:numPr>
          <w:ilvl w:val="0"/>
          <w:numId w:val="23"/>
        </w:numPr>
        <w:rPr>
          <w:rFonts w:cs="Arial"/>
          <w:sz w:val="24"/>
          <w:szCs w:val="24"/>
          <w:lang w:val="en-US"/>
        </w:rPr>
      </w:pPr>
      <w:r w:rsidRPr="001F25F4">
        <w:rPr>
          <w:rFonts w:cs="Arial"/>
          <w:sz w:val="24"/>
          <w:szCs w:val="24"/>
          <w:lang w:val="en-US"/>
        </w:rPr>
        <w:t>Ask to speak to</w:t>
      </w:r>
      <w:r w:rsidR="00FE586E" w:rsidRPr="001F25F4">
        <w:rPr>
          <w:rFonts w:cs="Arial"/>
          <w:sz w:val="24"/>
          <w:szCs w:val="24"/>
          <w:lang w:val="en-US"/>
        </w:rPr>
        <w:t xml:space="preserve"> </w:t>
      </w:r>
      <w:r w:rsidR="004E4623">
        <w:rPr>
          <w:rFonts w:cs="Arial"/>
          <w:sz w:val="24"/>
          <w:szCs w:val="24"/>
          <w:lang w:val="en-US"/>
        </w:rPr>
        <w:t>our Management Team</w:t>
      </w:r>
    </w:p>
    <w:p w14:paraId="50799AE2" w14:textId="77777777" w:rsidR="004E198C" w:rsidRPr="001F25F4" w:rsidRDefault="004E198C" w:rsidP="004E198C">
      <w:pPr>
        <w:rPr>
          <w:rFonts w:ascii="Calibri" w:hAnsi="Calibri" w:cs="Arial"/>
          <w:color w:val="215868"/>
          <w:sz w:val="24"/>
          <w:szCs w:val="24"/>
          <w:lang w:val="en-US"/>
        </w:rPr>
      </w:pPr>
    </w:p>
    <w:p w14:paraId="6437BD92" w14:textId="77777777" w:rsidR="004E198C" w:rsidRPr="001F25F4" w:rsidRDefault="004E198C" w:rsidP="004E198C">
      <w:pPr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The Data Protection Officer (DPO) for </w:t>
      </w:r>
      <w:r w:rsidR="003B438A">
        <w:rPr>
          <w:rFonts w:ascii="Calibri" w:hAnsi="Calibri" w:cs="Arial"/>
          <w:bCs/>
          <w:sz w:val="24"/>
          <w:szCs w:val="24"/>
          <w:lang w:eastAsia="en-GB"/>
        </w:rPr>
        <w:t>Peel Group Practice</w:t>
      </w:r>
      <w:r w:rsidRPr="004E198C">
        <w:rPr>
          <w:rFonts w:ascii="Calibri" w:hAnsi="Calibri" w:cs="Arial"/>
          <w:bCs/>
          <w:sz w:val="24"/>
          <w:szCs w:val="24"/>
          <w:lang w:eastAsia="en-GB"/>
        </w:rPr>
        <w:t xml:space="preserve"> </w:t>
      </w:r>
      <w:r w:rsidR="00A033BB">
        <w:rPr>
          <w:rFonts w:ascii="Calibri" w:hAnsi="Calibri" w:cs="Arial"/>
          <w:bCs/>
          <w:sz w:val="24"/>
          <w:szCs w:val="24"/>
          <w:lang w:eastAsia="en-GB"/>
        </w:rPr>
        <w:t xml:space="preserve">LLC </w:t>
      </w:r>
      <w:r w:rsidRPr="001F25F4">
        <w:rPr>
          <w:rFonts w:ascii="Calibri" w:hAnsi="Calibri" w:cs="Arial"/>
          <w:sz w:val="24"/>
          <w:szCs w:val="24"/>
          <w:lang w:val="en-US"/>
        </w:rPr>
        <w:t xml:space="preserve">is </w:t>
      </w:r>
      <w:r w:rsidR="00A033BB">
        <w:rPr>
          <w:rFonts w:ascii="Calibri" w:hAnsi="Calibri" w:cs="Arial"/>
          <w:sz w:val="24"/>
          <w:szCs w:val="24"/>
          <w:lang w:val="en-US"/>
        </w:rPr>
        <w:t>Janece Pugh.</w:t>
      </w:r>
    </w:p>
    <w:p w14:paraId="49707257" w14:textId="77777777" w:rsidR="004E198C" w:rsidRPr="001F25F4" w:rsidRDefault="004E198C" w:rsidP="004E198C">
      <w:pPr>
        <w:rPr>
          <w:rFonts w:ascii="Calibri" w:hAnsi="Calibri" w:cs="Arial"/>
          <w:sz w:val="24"/>
          <w:szCs w:val="24"/>
          <w:lang w:val="en-US"/>
        </w:rPr>
      </w:pPr>
    </w:p>
    <w:p w14:paraId="79DF4772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Complaints</w:t>
      </w:r>
    </w:p>
    <w:p w14:paraId="05C4EA70" w14:textId="77777777" w:rsidR="004E198C" w:rsidRPr="001F25F4" w:rsidRDefault="004E198C" w:rsidP="004E198C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In the unlikely event that you are unhappy with any element of our data-processing methods, you have the right to lodge a complaint with the ICO. For further details, </w:t>
      </w:r>
      <w:hyperlink r:id="rId8" w:history="1">
        <w:r w:rsidRPr="009C0FC6">
          <w:rPr>
            <w:rStyle w:val="Hyperlink"/>
            <w:rFonts w:ascii="Calibri" w:hAnsi="Calibri" w:cs="Arial"/>
            <w:sz w:val="24"/>
            <w:szCs w:val="24"/>
            <w:lang w:val="en-US"/>
          </w:rPr>
          <w:t>www.inforights.im</w:t>
        </w:r>
      </w:hyperlink>
      <w:r>
        <w:rPr>
          <w:rFonts w:ascii="Calibri" w:hAnsi="Calibri" w:cs="Arial"/>
          <w:sz w:val="24"/>
          <w:szCs w:val="24"/>
          <w:lang w:val="en-US"/>
        </w:rPr>
        <w:t xml:space="preserve"> and select Making a Complaint</w:t>
      </w:r>
      <w:r w:rsidR="004245CF">
        <w:rPr>
          <w:rFonts w:ascii="Calibri" w:hAnsi="Calibri" w:cs="Arial"/>
          <w:sz w:val="24"/>
          <w:szCs w:val="24"/>
          <w:lang w:val="en-US"/>
        </w:rPr>
        <w:t>.</w:t>
      </w:r>
    </w:p>
    <w:p w14:paraId="6E626E47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</w:p>
    <w:p w14:paraId="512D7E59" w14:textId="77777777" w:rsidR="004E198C" w:rsidRPr="001F25F4" w:rsidRDefault="004E198C" w:rsidP="004E198C">
      <w:pPr>
        <w:rPr>
          <w:rFonts w:ascii="Calibri" w:hAnsi="Calibri" w:cs="Arial"/>
          <w:b/>
          <w:color w:val="215868"/>
          <w:sz w:val="24"/>
          <w:szCs w:val="24"/>
          <w:lang w:val="en-US"/>
        </w:rPr>
      </w:pPr>
      <w:r w:rsidRPr="001F25F4">
        <w:rPr>
          <w:rFonts w:ascii="Calibri" w:hAnsi="Calibri" w:cs="Arial"/>
          <w:b/>
          <w:color w:val="215868"/>
          <w:sz w:val="24"/>
          <w:szCs w:val="24"/>
          <w:lang w:val="en-US"/>
        </w:rPr>
        <w:t>Changes to our privacy policy</w:t>
      </w:r>
    </w:p>
    <w:p w14:paraId="5954ED2E" w14:textId="77777777" w:rsidR="002D445A" w:rsidRPr="001F25F4" w:rsidRDefault="004E198C" w:rsidP="004E198C">
      <w:pPr>
        <w:rPr>
          <w:rFonts w:ascii="Calibri" w:hAnsi="Calibri" w:cs="Tahoma"/>
          <w:b/>
          <w:color w:val="006666"/>
          <w:sz w:val="24"/>
          <w:szCs w:val="24"/>
        </w:rPr>
      </w:pPr>
      <w:r w:rsidRPr="001F25F4">
        <w:rPr>
          <w:rFonts w:ascii="Calibri" w:hAnsi="Calibri" w:cs="Arial"/>
          <w:sz w:val="24"/>
          <w:szCs w:val="24"/>
          <w:lang w:val="en-US"/>
        </w:rPr>
        <w:t xml:space="preserve">We regularly review our privacy </w:t>
      </w:r>
      <w:proofErr w:type="gramStart"/>
      <w:r w:rsidRPr="001F25F4">
        <w:rPr>
          <w:rFonts w:ascii="Calibri" w:hAnsi="Calibri" w:cs="Arial"/>
          <w:sz w:val="24"/>
          <w:szCs w:val="24"/>
          <w:lang w:val="en-US"/>
        </w:rPr>
        <w:t>policy</w:t>
      </w:r>
      <w:proofErr w:type="gramEnd"/>
      <w:r w:rsidRPr="001F25F4">
        <w:rPr>
          <w:rFonts w:ascii="Calibri" w:hAnsi="Calibri" w:cs="Arial"/>
          <w:sz w:val="24"/>
          <w:szCs w:val="24"/>
          <w:lang w:val="en-US"/>
        </w:rPr>
        <w:t xml:space="preserve"> and any updates will be published on our website, in our newsletter and on posters to reflect the changes. </w:t>
      </w:r>
    </w:p>
    <w:sectPr w:rsidR="002D445A" w:rsidRPr="001F25F4" w:rsidSect="004E198C">
      <w:footerReference w:type="even" r:id="rId9"/>
      <w:footerReference w:type="default" r:id="rId10"/>
      <w:pgSz w:w="16838" w:h="11906" w:orient="landscape" w:code="9"/>
      <w:pgMar w:top="56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8C36" w14:textId="77777777" w:rsidR="005255F7" w:rsidRDefault="005255F7">
      <w:r>
        <w:separator/>
      </w:r>
    </w:p>
  </w:endnote>
  <w:endnote w:type="continuationSeparator" w:id="0">
    <w:p w14:paraId="1B094B6B" w14:textId="77777777" w:rsidR="005255F7" w:rsidRDefault="0052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35E3" w14:textId="77777777" w:rsidR="004B5A6E" w:rsidRDefault="004B5A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62141" w14:textId="77777777" w:rsidR="004B5A6E" w:rsidRDefault="004B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7847" w14:textId="77777777" w:rsidR="004B5A6E" w:rsidRDefault="004B5A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A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BAED66" w14:textId="77777777" w:rsidR="004E198C" w:rsidRDefault="004245CF" w:rsidP="000366B4">
    <w:pPr>
      <w:pStyle w:val="Footer"/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</w:rPr>
      <w:t xml:space="preserve">Janece </w:t>
    </w:r>
    <w:r w:rsidR="00680ECD">
      <w:rPr>
        <w:rFonts w:ascii="Calibri" w:hAnsi="Calibri" w:cs="Tahoma"/>
        <w:sz w:val="16"/>
        <w:szCs w:val="16"/>
      </w:rPr>
      <w:t>Pugh</w:t>
    </w:r>
  </w:p>
  <w:p w14:paraId="58321EF9" w14:textId="77777777" w:rsidR="004E198C" w:rsidRDefault="004E198C" w:rsidP="000366B4">
    <w:pPr>
      <w:pStyle w:val="Footer"/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</w:rPr>
      <w:t xml:space="preserve">Privacy Notice for </w:t>
    </w:r>
    <w:r w:rsidR="00680ECD">
      <w:rPr>
        <w:rFonts w:ascii="Calibri" w:hAnsi="Calibri" w:cs="Tahoma"/>
        <w:sz w:val="16"/>
        <w:szCs w:val="16"/>
      </w:rPr>
      <w:t>PGP</w:t>
    </w:r>
    <w:r>
      <w:rPr>
        <w:rFonts w:ascii="Calibri" w:hAnsi="Calibri" w:cs="Tahoma"/>
        <w:sz w:val="16"/>
        <w:szCs w:val="16"/>
      </w:rPr>
      <w:t xml:space="preserve"> Patients</w:t>
    </w:r>
  </w:p>
  <w:p w14:paraId="15DB1AC9" w14:textId="4201F85C" w:rsidR="007E16E9" w:rsidRPr="00A7458C" w:rsidRDefault="00A033BB" w:rsidP="000366B4">
    <w:pPr>
      <w:pStyle w:val="Footer"/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</w:rPr>
      <w:t>May 202</w:t>
    </w:r>
    <w:r w:rsidR="00B75622">
      <w:rPr>
        <w:rFonts w:ascii="Calibri" w:hAnsi="Calibri" w:cs="Tahom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1F6C" w14:textId="77777777" w:rsidR="005255F7" w:rsidRDefault="005255F7">
      <w:r>
        <w:separator/>
      </w:r>
    </w:p>
  </w:footnote>
  <w:footnote w:type="continuationSeparator" w:id="0">
    <w:p w14:paraId="6E9C478D" w14:textId="77777777" w:rsidR="005255F7" w:rsidRDefault="005255F7">
      <w:r>
        <w:continuationSeparator/>
      </w:r>
    </w:p>
  </w:footnote>
  <w:footnote w:id="1">
    <w:p w14:paraId="37ADD09B" w14:textId="77777777" w:rsidR="004E198C" w:rsidRDefault="004E198C" w:rsidP="004E19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E2623">
          <w:rPr>
            <w:rStyle w:val="Hyperlink"/>
          </w:rPr>
          <w:t>BMA GPs as data controllers under the GDPR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FC3"/>
    <w:multiLevelType w:val="singleLevel"/>
    <w:tmpl w:val="BAC6D12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CA3410"/>
    <w:multiLevelType w:val="singleLevel"/>
    <w:tmpl w:val="5CE8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41C4B81"/>
    <w:multiLevelType w:val="singleLevel"/>
    <w:tmpl w:val="C9322C8E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CD71C6"/>
    <w:multiLevelType w:val="singleLevel"/>
    <w:tmpl w:val="1826CFF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967DD4"/>
    <w:multiLevelType w:val="singleLevel"/>
    <w:tmpl w:val="224039C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3F1145A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536143"/>
    <w:multiLevelType w:val="singleLevel"/>
    <w:tmpl w:val="282C848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6F82"/>
    <w:multiLevelType w:val="hybridMultilevel"/>
    <w:tmpl w:val="01E890E2"/>
    <w:lvl w:ilvl="0" w:tplc="30CE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D04FC"/>
    <w:multiLevelType w:val="singleLevel"/>
    <w:tmpl w:val="D0AAA04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1340CE"/>
    <w:multiLevelType w:val="singleLevel"/>
    <w:tmpl w:val="D862A3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28750C1"/>
    <w:multiLevelType w:val="singleLevel"/>
    <w:tmpl w:val="A78068D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64903D3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691A33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F75748"/>
    <w:multiLevelType w:val="singleLevel"/>
    <w:tmpl w:val="3C667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05606D0"/>
    <w:multiLevelType w:val="singleLevel"/>
    <w:tmpl w:val="05B42E5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4D17C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CA01B9"/>
    <w:multiLevelType w:val="singleLevel"/>
    <w:tmpl w:val="A856993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F525C04"/>
    <w:multiLevelType w:val="singleLevel"/>
    <w:tmpl w:val="B5D0A2A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AFA1632"/>
    <w:multiLevelType w:val="singleLevel"/>
    <w:tmpl w:val="785CE09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D6E32D7"/>
    <w:multiLevelType w:val="singleLevel"/>
    <w:tmpl w:val="5F06E7E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EE78BC"/>
    <w:multiLevelType w:val="singleLevel"/>
    <w:tmpl w:val="441EA09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480612">
    <w:abstractNumId w:val="16"/>
  </w:num>
  <w:num w:numId="2" w16cid:durableId="961761750">
    <w:abstractNumId w:val="1"/>
  </w:num>
  <w:num w:numId="3" w16cid:durableId="1258827044">
    <w:abstractNumId w:val="4"/>
  </w:num>
  <w:num w:numId="4" w16cid:durableId="1288970773">
    <w:abstractNumId w:val="3"/>
  </w:num>
  <w:num w:numId="5" w16cid:durableId="1836262699">
    <w:abstractNumId w:val="21"/>
  </w:num>
  <w:num w:numId="6" w16cid:durableId="959414213">
    <w:abstractNumId w:val="9"/>
  </w:num>
  <w:num w:numId="7" w16cid:durableId="1200318363">
    <w:abstractNumId w:val="17"/>
  </w:num>
  <w:num w:numId="8" w16cid:durableId="1739093689">
    <w:abstractNumId w:val="11"/>
  </w:num>
  <w:num w:numId="9" w16cid:durableId="1880975328">
    <w:abstractNumId w:val="12"/>
  </w:num>
  <w:num w:numId="10" w16cid:durableId="1090128351">
    <w:abstractNumId w:val="13"/>
  </w:num>
  <w:num w:numId="11" w16cid:durableId="2120641644">
    <w:abstractNumId w:val="10"/>
  </w:num>
  <w:num w:numId="12" w16cid:durableId="1232430232">
    <w:abstractNumId w:val="6"/>
  </w:num>
  <w:num w:numId="13" w16cid:durableId="154496800">
    <w:abstractNumId w:val="5"/>
  </w:num>
  <w:num w:numId="14" w16cid:durableId="1006782574">
    <w:abstractNumId w:val="18"/>
  </w:num>
  <w:num w:numId="15" w16cid:durableId="23093329">
    <w:abstractNumId w:val="15"/>
  </w:num>
  <w:num w:numId="16" w16cid:durableId="1398671149">
    <w:abstractNumId w:val="2"/>
  </w:num>
  <w:num w:numId="17" w16cid:durableId="91362960">
    <w:abstractNumId w:val="14"/>
  </w:num>
  <w:num w:numId="18" w16cid:durableId="46531722">
    <w:abstractNumId w:val="0"/>
  </w:num>
  <w:num w:numId="19" w16cid:durableId="1481921559">
    <w:abstractNumId w:val="19"/>
  </w:num>
  <w:num w:numId="20" w16cid:durableId="1153840496">
    <w:abstractNumId w:val="20"/>
  </w:num>
  <w:num w:numId="21" w16cid:durableId="501120404">
    <w:abstractNumId w:val="9"/>
    <w:lvlOverride w:ilvl="0">
      <w:startOverride w:val="1"/>
    </w:lvlOverride>
  </w:num>
  <w:num w:numId="22" w16cid:durableId="173229939">
    <w:abstractNumId w:val="7"/>
  </w:num>
  <w:num w:numId="23" w16cid:durableId="862279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8B"/>
    <w:rsid w:val="00001E79"/>
    <w:rsid w:val="0002109F"/>
    <w:rsid w:val="000366B4"/>
    <w:rsid w:val="000863FB"/>
    <w:rsid w:val="000B75F0"/>
    <w:rsid w:val="00164F3C"/>
    <w:rsid w:val="001E3BA4"/>
    <w:rsid w:val="001F25F4"/>
    <w:rsid w:val="002218FF"/>
    <w:rsid w:val="002D445A"/>
    <w:rsid w:val="003B438A"/>
    <w:rsid w:val="003D21D9"/>
    <w:rsid w:val="003D51B5"/>
    <w:rsid w:val="003E2275"/>
    <w:rsid w:val="00411878"/>
    <w:rsid w:val="004245CF"/>
    <w:rsid w:val="00461E26"/>
    <w:rsid w:val="004B2A8B"/>
    <w:rsid w:val="004B5A6E"/>
    <w:rsid w:val="004D28CF"/>
    <w:rsid w:val="004E198C"/>
    <w:rsid w:val="004E4623"/>
    <w:rsid w:val="00503040"/>
    <w:rsid w:val="00507307"/>
    <w:rsid w:val="005107ED"/>
    <w:rsid w:val="005255F7"/>
    <w:rsid w:val="00595147"/>
    <w:rsid w:val="005A7623"/>
    <w:rsid w:val="005B7CA5"/>
    <w:rsid w:val="005F2313"/>
    <w:rsid w:val="00663461"/>
    <w:rsid w:val="00680ECD"/>
    <w:rsid w:val="006871A9"/>
    <w:rsid w:val="006F27EF"/>
    <w:rsid w:val="00702D5C"/>
    <w:rsid w:val="00772F2E"/>
    <w:rsid w:val="00777161"/>
    <w:rsid w:val="007E16E9"/>
    <w:rsid w:val="009F2391"/>
    <w:rsid w:val="00A033BB"/>
    <w:rsid w:val="00A62AB6"/>
    <w:rsid w:val="00A7458C"/>
    <w:rsid w:val="00B14C3F"/>
    <w:rsid w:val="00B36F92"/>
    <w:rsid w:val="00B4377F"/>
    <w:rsid w:val="00B75622"/>
    <w:rsid w:val="00BB7050"/>
    <w:rsid w:val="00C201ED"/>
    <w:rsid w:val="00C85889"/>
    <w:rsid w:val="00D270EB"/>
    <w:rsid w:val="00DB2478"/>
    <w:rsid w:val="00EA7D0A"/>
    <w:rsid w:val="00F43787"/>
    <w:rsid w:val="00F55AC2"/>
    <w:rsid w:val="00F61134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9B177"/>
  <w15:chartTrackingRefBased/>
  <w15:docId w15:val="{426CDAD5-D616-464E-9C47-D24E49F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36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98C"/>
    <w:pPr>
      <w:ind w:left="720"/>
      <w:contextualSpacing/>
    </w:pPr>
    <w:rPr>
      <w:rFonts w:ascii="Calibri" w:eastAsia="Calibri" w:hAnsi="Calibri" w:cs="Vrinda"/>
      <w:sz w:val="22"/>
      <w:szCs w:val="22"/>
    </w:rPr>
  </w:style>
  <w:style w:type="character" w:styleId="Hyperlink">
    <w:name w:val="Hyperlink"/>
    <w:uiPriority w:val="99"/>
    <w:unhideWhenUsed/>
    <w:rsid w:val="004E198C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4E198C"/>
    <w:rPr>
      <w:rFonts w:ascii="Calibri" w:eastAsia="Calibri" w:hAnsi="Calibri" w:cs="Vrinda"/>
      <w:sz w:val="24"/>
      <w:szCs w:val="24"/>
    </w:rPr>
  </w:style>
  <w:style w:type="character" w:customStyle="1" w:styleId="FootnoteTextChar">
    <w:name w:val="Footnote Text Char"/>
    <w:link w:val="FootnoteText"/>
    <w:rsid w:val="004E198C"/>
    <w:rPr>
      <w:rFonts w:ascii="Calibri" w:eastAsia="Calibri" w:hAnsi="Calibri" w:cs="Vrinda"/>
      <w:sz w:val="24"/>
      <w:szCs w:val="24"/>
      <w:lang w:eastAsia="en-US" w:bidi="ar-SA"/>
    </w:rPr>
  </w:style>
  <w:style w:type="character" w:styleId="FootnoteReference">
    <w:name w:val="footnote reference"/>
    <w:unhideWhenUsed/>
    <w:rsid w:val="004E1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ights.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.uk/url?sa=t&amp;rct=j&amp;q=&amp;esrc=s&amp;source=web&amp;cd=2&amp;ved=0ahUKEwi3gLCPg-zZAhWHJMAKHceMAvoQFgg7MAE&amp;url=https%3A%2F%2Fwww.bma.org.uk%2F-%2Fmedia%2Ffiles%2Fpdfs%2Femployment%2520advice%2Fethics%2Fgps-data-controllers-under-gdpr-mar2018.pdf%3Fla%3Den&amp;usg=AOvVaw31JOTJSIlR7y9BCae7OF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Bridgegate Medical Centre</Company>
  <LinksUpToDate>false</LinksUpToDate>
  <CharactersWithSpaces>4329</CharactersWithSpaces>
  <SharedDoc>false</SharedDoc>
  <HLinks>
    <vt:vector size="12" baseType="variant"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http://www.inforights.im/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t&amp;rct=j&amp;q=&amp;esrc=s&amp;source=web&amp;cd=2&amp;ved=0ahUKEwi3gLCPg-zZAhWHJMAKHceMAvoQFgg7MAE&amp;url=https%3A%2F%2Fwww.bma.org.uk%2F-%2Fmedia%2Ffiles%2Fpdfs%2Femployment%2520advice%2Fethics%2Fgps-data-controllers-under-gdpr-mar2018.pdf%3Fla%3Den&amp;usg=AOvVaw31JOTJSIlR7y9BCae7OF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The Practice Manager</dc:creator>
  <cp:keywords/>
  <cp:lastModifiedBy>Pugh, Janece</cp:lastModifiedBy>
  <cp:revision>3</cp:revision>
  <cp:lastPrinted>2026-06-02T11:50:00Z</cp:lastPrinted>
  <dcterms:created xsi:type="dcterms:W3CDTF">2025-06-24T13:38:00Z</dcterms:created>
  <dcterms:modified xsi:type="dcterms:W3CDTF">2026-06-02T11:50:00Z</dcterms:modified>
</cp:coreProperties>
</file>